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2F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025EB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电势差</w:t>
      </w:r>
    </w:p>
    <w:p w14:paraId="394A700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7900610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电势差</w:t>
      </w:r>
    </w:p>
    <w:p w14:paraId="3D689BA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</w:t>
      </w:r>
      <w:r>
        <w:rPr>
          <w:rFonts w:hint="eastAsia" w:ascii="Times New Roman" w:hAnsi="Times New Roman" w:cs="Times New Roman"/>
          <w:sz w:val="21"/>
          <w:szCs w:val="21"/>
        </w:rPr>
        <w:t>在电场中，两点之间电势的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</w:rPr>
        <w:t>差值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叫作电势差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电势差也叫作电压。</w:t>
      </w:r>
    </w:p>
    <w:p w14:paraId="0FEEB1E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iCs w:val="0"/>
          <w:sz w:val="21"/>
          <w:szCs w:val="21"/>
          <w:u w:val="none"/>
          <w:vertAlign w:val="subscript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表达式</w:t>
      </w:r>
      <w:r>
        <w:rPr>
          <w:rFonts w:ascii="Times New Roman" w:hAnsi="Times New Roman" w:cs="Times New Roman"/>
          <w:sz w:val="21"/>
          <w:szCs w:val="21"/>
        </w:rPr>
        <w:t>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5" o:spt="75" type="#_x0000_t75" style="height:17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6" o:spt="75" type="#_x0000_t75" style="height:17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7074419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定义式：电荷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在电场中从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点时，电场力所做的功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与电荷量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的比值，叫作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两点间的电势差，其定义式为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28"/>
          <w:sz w:val="21"/>
          <w:szCs w:val="21"/>
          <w:u w:val="single"/>
          <w:vertAlign w:val="baseline"/>
          <w:lang w:val="en-US" w:eastAsia="zh-CN"/>
        </w:rPr>
        <w:object>
          <v:shape id="_x0000_i1027" o:spt="75" type="#_x0000_t75" style="height:33pt;width:24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21D0378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（4）</w:t>
      </w:r>
      <w:r>
        <w:rPr>
          <w:rFonts w:ascii="Times New Roman" w:hAnsi="Times New Roman" w:cs="Times New Roman"/>
          <w:sz w:val="21"/>
          <w:szCs w:val="21"/>
        </w:rPr>
        <w:t>影响因素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：</w:t>
      </w:r>
      <w:r>
        <w:rPr>
          <w:rFonts w:hint="eastAsia" w:ascii="Times New Roman" w:hAnsi="Times New Roman" w:cs="Times New Roman"/>
          <w:sz w:val="21"/>
          <w:szCs w:val="21"/>
        </w:rPr>
        <w:t>电场中两点间的电势差由电场本身的性质和初、末位置决定，与这两点间</w:t>
      </w:r>
    </w:p>
    <w:p w14:paraId="0FCA59D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textAlignment w:val="auto"/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</w:rPr>
        <w:t>移动电荷的电荷量、电场力做功的大小无关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无关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，与零电势点的选取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无关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1A3FCC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等势面</w:t>
      </w:r>
    </w:p>
    <w:p w14:paraId="7712CC6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定义：电场中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电势相同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的各点构成的面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4B36F7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特点</w:t>
      </w:r>
    </w:p>
    <w:p w14:paraId="45E29D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在同一等势面上移动电荷时电场力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不做功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7F531FE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电场线一定与等势面垂直，并且从电势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高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的等势面指向电势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低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3664B4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等差等势面越密的地方电场强度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越大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，反之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越小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7A952BF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任意两个等势面都不相交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3E4C78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等势面的分布与零电势点的选取无关。</w:t>
      </w:r>
    </w:p>
    <w:p w14:paraId="6922FF96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（3）典型的等势面</w:t>
      </w:r>
    </w:p>
    <w:p w14:paraId="1114B84B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①点电荷电场中的等势面：以点电荷为球心的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t>球面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，如图甲所示。</w:t>
      </w:r>
    </w:p>
    <w:p w14:paraId="4A9E5BAA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②等量同种或异种点电荷电场的等势面：对称的曲面，周围的电场是这两个点电荷各自电场叠加的结果，如图乙、丙所示。</w:t>
      </w:r>
    </w:p>
    <w:p w14:paraId="4D9D5B99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③匀强电场的等势面：垂直于电场线的平面，如图丁所示。</w:t>
      </w:r>
    </w:p>
    <w:p w14:paraId="382BC392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④不规则的带电导体电场的等势面：垂直于电场线的不规则曲面，如图戊所示。</w:t>
      </w:r>
    </w:p>
    <w:p w14:paraId="2EF00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4310380" cy="1219200"/>
            <wp:effectExtent l="0" t="0" r="13970" b="0"/>
            <wp:docPr id="26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03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230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处于静电平衡状态的整个导体是个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t>等势体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，导体的表面为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u w:val="single"/>
          <w:lang w:val="en-US" w:eastAsia="zh-CN"/>
        </w:rPr>
        <w:t>等势面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512C61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3.等势面与电场线的区别与联系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593"/>
        <w:gridCol w:w="4007"/>
      </w:tblGrid>
      <w:tr w14:paraId="1B083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</w:tcPr>
          <w:p w14:paraId="6584A5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比较</w:t>
            </w:r>
          </w:p>
        </w:tc>
        <w:tc>
          <w:tcPr>
            <w:tcW w:w="3593" w:type="dxa"/>
          </w:tcPr>
          <w:p w14:paraId="38195F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</w:t>
            </w:r>
          </w:p>
        </w:tc>
        <w:tc>
          <w:tcPr>
            <w:tcW w:w="4007" w:type="dxa"/>
          </w:tcPr>
          <w:p w14:paraId="2862DF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等势面</w:t>
            </w:r>
          </w:p>
        </w:tc>
      </w:tr>
      <w:tr w14:paraId="402DF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2" w:type="dxa"/>
            <w:vMerge w:val="restart"/>
          </w:tcPr>
          <w:p w14:paraId="7BB70C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729AE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80" w:firstLineChars="10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3324B6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区别</w:t>
            </w:r>
          </w:p>
        </w:tc>
        <w:tc>
          <w:tcPr>
            <w:tcW w:w="3593" w:type="dxa"/>
          </w:tcPr>
          <w:p w14:paraId="308488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起始于正电荷(或无穷远处) ,终止于无穷远处(或负电荷) ,不闭合</w:t>
            </w:r>
          </w:p>
        </w:tc>
        <w:tc>
          <w:tcPr>
            <w:tcW w:w="4007" w:type="dxa"/>
          </w:tcPr>
          <w:p w14:paraId="12C92B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可以闭合,也可以不闭合</w:t>
            </w:r>
          </w:p>
        </w:tc>
      </w:tr>
      <w:tr w14:paraId="451C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5350C0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32231A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电场线的疏密程度表示电场强度的大小</w:t>
            </w:r>
          </w:p>
        </w:tc>
        <w:tc>
          <w:tcPr>
            <w:tcW w:w="4007" w:type="dxa"/>
          </w:tcPr>
          <w:p w14:paraId="281ADE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等差等势面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的疏密程度表示电场强度的大小</w:t>
            </w:r>
          </w:p>
        </w:tc>
      </w:tr>
      <w:tr w14:paraId="151E0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351702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66E67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电场线上某点的切线方向表示该点电场强度的方向</w:t>
            </w:r>
          </w:p>
        </w:tc>
        <w:tc>
          <w:tcPr>
            <w:tcW w:w="4007" w:type="dxa"/>
          </w:tcPr>
          <w:p w14:paraId="416084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等势面上各点电场强度的方向都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垂直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于等势面,指向电势降落的方向</w:t>
            </w:r>
          </w:p>
        </w:tc>
      </w:tr>
      <w:tr w14:paraId="55E7F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593742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34C938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沿电场线移动电荷,静电力一定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做功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4007" w:type="dxa"/>
          </w:tcPr>
          <w:p w14:paraId="6901EA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沿等势面移动电荷,静电力一定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不做功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27717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restart"/>
          </w:tcPr>
          <w:p w14:paraId="594D9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  <w:p w14:paraId="555B98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联系</w:t>
            </w:r>
          </w:p>
        </w:tc>
        <w:tc>
          <w:tcPr>
            <w:tcW w:w="7600" w:type="dxa"/>
            <w:gridSpan w:val="2"/>
          </w:tcPr>
          <w:p w14:paraId="2D8EB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电场线和等势面处处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垂直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2462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2F0BA8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4835CB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任意两电场线之间和任意两等势面之间都不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相交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7BEBC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4607BA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48A581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电场线和等势面都是为了形象地描述电场而假想出来的，实际并不存在</w:t>
            </w:r>
          </w:p>
        </w:tc>
      </w:tr>
      <w:tr w14:paraId="51226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1CD49A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0240CF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电场线密集处,等差等势面也密集</w:t>
            </w:r>
          </w:p>
        </w:tc>
      </w:tr>
    </w:tbl>
    <w:p w14:paraId="38D8F4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2AD543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</w:t>
      </w:r>
    </w:p>
    <w:p w14:paraId="6848AD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1.等势面越密的地方，电场强度越大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8C084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2.电荷在等势面上移动时，由于不受电场力作用，所以电场力不做功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</w:t>
      </w:r>
    </w:p>
    <w:p w14:paraId="703A15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3.同一个等势面上各点的场强大小相等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B7AC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4.电场中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两点间的电势差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等于把正电荷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点移动到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点时电场力做的功</w:t>
      </w:r>
    </w:p>
    <w:p w14:paraId="1EB68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D64A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61A3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2D9F0CC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361315</wp:posOffset>
            </wp:positionV>
            <wp:extent cx="887730" cy="901065"/>
            <wp:effectExtent l="0" t="0" r="7620" b="13335"/>
            <wp:wrapSquare wrapText="bothSides"/>
            <wp:docPr id="2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</w:rPr>
        <w:t>如图所示，在匀强电场中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将电荷量为-6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</w:rPr>
        <w:t>-6</w:t>
      </w:r>
      <w:r>
        <w:rPr>
          <w:rFonts w:hint="eastAsia" w:ascii="Times New Roman" w:hAnsi="Times New Roman" w:cs="Times New Roman"/>
          <w:sz w:val="21"/>
          <w:szCs w:val="21"/>
        </w:rPr>
        <w:t xml:space="preserve"> C的点电荷从电场中的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点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静电力做了-2.4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</w:rPr>
        <w:t>-5</w:t>
      </w:r>
      <w:r>
        <w:rPr>
          <w:rFonts w:hint="eastAsia" w:ascii="Times New Roman" w:hAnsi="Times New Roman" w:cs="Times New Roman"/>
          <w:sz w:val="21"/>
          <w:szCs w:val="21"/>
        </w:rPr>
        <w:t xml:space="preserve"> J的功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再从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点，静电力做了1.2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 w:eastAsia="zh-CN"/>
        </w:rPr>
        <w:t>-5</w:t>
      </w:r>
      <w:r>
        <w:rPr>
          <w:rFonts w:hint="eastAsia" w:ascii="Times New Roman" w:hAnsi="Times New Roman" w:cs="Times New Roman"/>
          <w:sz w:val="21"/>
          <w:szCs w:val="21"/>
        </w:rPr>
        <w:t xml:space="preserve"> J的功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。已知</w:t>
      </w:r>
      <w:r>
        <w:rPr>
          <w:rFonts w:hint="eastAsia" w:ascii="Times New Roman" w:hAnsi="Times New Roman" w:cs="Times New Roman"/>
          <w:sz w:val="21"/>
          <w:szCs w:val="21"/>
        </w:rPr>
        <w:t>电场的方向与△ABC所在的平面平行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D11BB9F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sz w:val="21"/>
          <w:szCs w:val="21"/>
        </w:rPr>
        <w:t>和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BC</w:t>
      </w:r>
      <w:r>
        <w:rPr>
          <w:rFonts w:hint="eastAsia" w:ascii="Times New Roman" w:hAnsi="Times New Roman" w:cs="Times New Roman"/>
          <w:sz w:val="21"/>
          <w:szCs w:val="21"/>
        </w:rPr>
        <w:t>分别为多少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？</w:t>
      </w:r>
    </w:p>
    <w:p w14:paraId="733D479C">
      <w:pPr>
        <w:pStyle w:val="2"/>
        <w:tabs>
          <w:tab w:val="left" w:pos="4395"/>
        </w:tabs>
        <w:spacing w:line="360" w:lineRule="auto"/>
        <w:jc w:val="left"/>
        <w:rPr>
          <w:rFonts w:hint="eastAsia" w:ascii="Times New Roman" w:hAnsi="Times New Roman" w:cs="Times New Roman"/>
          <w:i w:val="0"/>
          <w:iCs w:val="0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如果规定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点的电势为0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则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点和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点的电势分别为多少?</w:t>
      </w:r>
    </w:p>
    <w:p w14:paraId="4BE34B40">
      <w:pPr>
        <w:spacing w:line="360" w:lineRule="auto"/>
        <w:jc w:val="left"/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）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4V   -2V  （2）4V   2V</w:t>
      </w:r>
    </w:p>
    <w:p w14:paraId="0D6A8616">
      <w:pPr>
        <w:spacing w:line="360" w:lineRule="auto"/>
        <w:jc w:val="left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根据电势差的定义式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有</w:t>
      </w:r>
      <w:r>
        <w:rPr>
          <w:rFonts w:hint="eastAsia" w:ascii="Times New Roman" w:hAnsi="Times New Roman" w:cs="Times New Roman"/>
          <w:color w:val="FF0000"/>
          <w:position w:val="-28"/>
          <w:sz w:val="21"/>
          <w:szCs w:val="21"/>
        </w:rPr>
        <w:object>
          <v:shape id="_x0000_i1028" o:spt="75" type="#_x0000_t75" style="height:35pt;width:16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bookmarkStart w:id="0" w:name="_GoBack"/>
      <w:bookmarkEnd w:id="0"/>
      <w:r>
        <w:rPr>
          <w:rFonts w:hint="eastAsia" w:ascii="Times New Roman" w:hAnsi="Times New Roman" w:cs="Times New Roman"/>
          <w:color w:val="FF0000"/>
          <w:position w:val="-28"/>
          <w:sz w:val="21"/>
          <w:szCs w:val="21"/>
        </w:rPr>
        <w:object>
          <v:shape id="_x0000_i1029" o:spt="75" type="#_x0000_t75" style="height:35pt;width:15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03F994E8">
      <w:pPr>
        <w:spacing w:line="360" w:lineRule="auto"/>
        <w:jc w:val="left"/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）由于规定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eastAsia="zh-CN"/>
        </w:rPr>
        <w:t>B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点的电势为0，则有</w:t>
      </w:r>
      <w:r>
        <w:rPr>
          <w:rFonts w:hint="eastAsia" w:ascii="Times New Roman" w:hAnsi="Times New Roman" w:cs="Times New Roman"/>
          <w:color w:val="FF0000"/>
          <w:position w:val="-10"/>
          <w:sz w:val="21"/>
          <w:szCs w:val="21"/>
          <w:lang w:eastAsia="zh-CN"/>
        </w:rPr>
        <w:object>
          <v:shape id="_x0000_i1030" o:spt="75" type="#_x0000_t75" style="height:17pt;width:6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，解得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点的电势为</w:t>
      </w:r>
      <w:r>
        <w:rPr>
          <w:rFonts w:hint="eastAsia" w:ascii="Times New Roman" w:hAnsi="Times New Roman" w:cs="Times New Roman"/>
          <w:color w:val="FF0000"/>
          <w:position w:val="-10"/>
          <w:sz w:val="21"/>
          <w:szCs w:val="21"/>
          <w:lang w:eastAsia="zh-CN"/>
        </w:rPr>
        <w:object>
          <v:shape id="_x0000_i1031" o:spt="75" type="#_x0000_t75" style="height:17pt;width:12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position w:val="-12"/>
          <w:sz w:val="21"/>
          <w:szCs w:val="21"/>
          <w:lang w:eastAsia="zh-CN"/>
        </w:rPr>
        <w:object>
          <v:shape id="_x0000_i1032" o:spt="75" type="#_x0000_t75" style="height:18pt;width:7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解得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点的电势为</w:t>
      </w:r>
      <w:r>
        <w:rPr>
          <w:rFonts w:hint="eastAsia" w:ascii="Times New Roman" w:hAnsi="Times New Roman" w:cs="Times New Roman"/>
          <w:color w:val="FF0000"/>
          <w:position w:val="-12"/>
          <w:sz w:val="21"/>
          <w:szCs w:val="21"/>
          <w:lang w:eastAsia="zh-CN"/>
        </w:rPr>
        <w:object>
          <v:shape id="_x0000_i1033" o:spt="75" type="#_x0000_t75" style="height:18pt;width:17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1C170D6B">
      <w:pPr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FC02FE7"/>
    <w:rsid w:val="2DC762EA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652744"/>
    <w:rsid w:val="6F83245B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1119</Words>
  <Characters>1166</Characters>
  <Lines>0</Lines>
  <Paragraphs>0</Paragraphs>
  <TotalTime>0</TotalTime>
  <ScaleCrop>false</ScaleCrop>
  <LinksUpToDate>false</LinksUpToDate>
  <CharactersWithSpaces>1421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